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media/image1.png" ContentType="image/png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99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9996"/>
      </w:tblGrid>
      <w:tr>
        <w:trPr/>
        <w:tc>
          <w:tcPr>
            <w:tcW w:w="9996" w:type="dxa"/>
            <w:tcBorders>
              <w:bottom w:val="thinThickSmallGap" w:sz="12" w:space="0" w:color="000000"/>
            </w:tcBorders>
          </w:tcPr>
          <w:p>
            <w:pPr>
              <w:pStyle w:val="NoSpacing"/>
              <w:widowControl w:val="false"/>
              <w:jc w:val="center"/>
              <w:rPr/>
            </w:pPr>
            <w:r>
              <w:rPr/>
              <w:drawing>
                <wp:inline distT="0" distB="0" distL="0" distR="0">
                  <wp:extent cx="742950" cy="914400"/>
                  <wp:effectExtent l="0" t="0" r="0" b="0"/>
                  <wp:docPr id="1" name="Рисунок 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NoSpacing"/>
              <w:widowControl w:val="false"/>
              <w:jc w:val="center"/>
              <w:rPr>
                <w:rFonts w:ascii="Bookman Old Style" w:hAnsi="Bookman Old Style"/>
                <w:b/>
                <w:b/>
                <w:spacing w:val="-20"/>
                <w:sz w:val="32"/>
                <w:szCs w:val="32"/>
              </w:rPr>
            </w:pPr>
            <w:r>
              <w:rPr>
                <w:rFonts w:ascii="Bookman Old Style" w:hAnsi="Bookman Old Style"/>
                <w:b/>
                <w:spacing w:val="-20"/>
                <w:sz w:val="32"/>
                <w:szCs w:val="32"/>
              </w:rPr>
              <w:t>Администрация Миньярского городского поселения</w:t>
            </w:r>
          </w:p>
          <w:p>
            <w:pPr>
              <w:pStyle w:val="NoSpacing"/>
              <w:widowControl w:val="false"/>
              <w:jc w:val="center"/>
              <w:rPr>
                <w:rFonts w:ascii="Bookman Old Style" w:hAnsi="Bookman Old Style"/>
                <w:b/>
                <w:b/>
                <w:sz w:val="26"/>
                <w:szCs w:val="26"/>
              </w:rPr>
            </w:pPr>
            <w:r>
              <w:rPr>
                <w:rFonts w:ascii="Bookman Old Style" w:hAnsi="Bookman Old Style"/>
                <w:b/>
                <w:sz w:val="26"/>
                <w:szCs w:val="26"/>
              </w:rPr>
              <w:t>Ашинского муниципального района Челябинской области</w:t>
            </w:r>
          </w:p>
          <w:p>
            <w:pPr>
              <w:pStyle w:val="NoSpacing"/>
              <w:widowControl w:val="false"/>
              <w:jc w:val="center"/>
              <w:rPr>
                <w:rFonts w:ascii="Bookman Old Style" w:hAnsi="Bookman Old Style"/>
                <w:sz w:val="16"/>
                <w:szCs w:val="16"/>
              </w:rPr>
            </w:pPr>
            <w:r>
              <w:rPr>
                <w:rFonts w:ascii="Bookman Old Style" w:hAnsi="Bookman Old Style"/>
                <w:sz w:val="16"/>
                <w:szCs w:val="16"/>
              </w:rPr>
            </w:r>
          </w:p>
          <w:p>
            <w:pPr>
              <w:pStyle w:val="NoSpacing"/>
              <w:widowControl w:val="false"/>
              <w:jc w:val="center"/>
              <w:rPr>
                <w:rFonts w:ascii="Bookman Old Style" w:hAnsi="Bookman Old Style"/>
                <w:b/>
                <w:b/>
                <w:sz w:val="52"/>
                <w:szCs w:val="52"/>
              </w:rPr>
            </w:pPr>
            <w:r>
              <w:rPr>
                <w:rFonts w:ascii="Bookman Old Style" w:hAnsi="Bookman Old Style"/>
                <w:b/>
                <w:sz w:val="52"/>
                <w:szCs w:val="52"/>
              </w:rPr>
              <w:t>ПОСТАНОВЛЕНИЕ</w:t>
            </w:r>
          </w:p>
          <w:p>
            <w:pPr>
              <w:pStyle w:val="NoSpacing"/>
              <w:widowControl w:val="false"/>
              <w:jc w:val="center"/>
              <w:rPr>
                <w:rFonts w:ascii="Bookman Old Style" w:hAnsi="Bookman Old Style"/>
                <w:b/>
                <w:b/>
                <w:sz w:val="16"/>
                <w:szCs w:val="16"/>
              </w:rPr>
            </w:pPr>
            <w:r>
              <w:rPr>
                <w:rFonts w:ascii="Bookman Old Style" w:hAnsi="Bookman Old Style"/>
                <w:b/>
                <w:sz w:val="16"/>
                <w:szCs w:val="16"/>
              </w:rPr>
            </w:r>
          </w:p>
        </w:tc>
      </w:tr>
    </w:tbl>
    <w:tbl>
      <w:tblPr>
        <w:tblpPr w:vertAnchor="text" w:horzAnchor="margin" w:leftFromText="180" w:rightFromText="180" w:tblpX="0" w:tblpY="87"/>
        <w:tblW w:w="4968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65"/>
        <w:gridCol w:w="2522"/>
        <w:gridCol w:w="540"/>
        <w:gridCol w:w="1440"/>
      </w:tblGrid>
      <w:tr>
        <w:trPr/>
        <w:tc>
          <w:tcPr>
            <w:tcW w:w="46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right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ar-SA"/>
              </w:rPr>
              <w:t>от</w:t>
            </w:r>
          </w:p>
        </w:tc>
        <w:tc>
          <w:tcPr>
            <w:tcW w:w="2522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ar-SA"/>
              </w:rPr>
              <w:t>24.12.2024</w:t>
            </w:r>
          </w:p>
        </w:tc>
        <w:tc>
          <w:tcPr>
            <w:tcW w:w="54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200"/>
              <w:jc w:val="right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440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spacing w:before="0" w:after="200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ar-SA"/>
              </w:rPr>
              <w:t>201</w:t>
            </w:r>
          </w:p>
        </w:tc>
      </w:tr>
    </w:tbl>
    <w:p>
      <w:pPr>
        <w:pStyle w:val="Normal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hd w:val="clear" w:color="auto" w:fill="FFFFFF"/>
        <w:ind w:right="5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hd w:val="clear" w:color="auto" w:fill="FFFFFF"/>
        <w:ind w:right="5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Об утверждении Программы профилактики</w:t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нарушений обязательных требований на 2025 год</w:t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сфере муниципального жилищного контроля.</w:t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Web"/>
        <w:spacing w:before="280" w:after="280"/>
        <w:jc w:val="both"/>
        <w:rPr/>
      </w:pPr>
      <w:r>
        <w:rPr/>
        <w:t xml:space="preserve">  </w:t>
      </w:r>
      <w:r>
        <w:rPr/>
        <w:t>Руководствуясь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31 июля 2020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«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Совета депутатов Миньярского городского поселения от 24 сентября 2021 года № 43 «Об утверждении Положения о муниципальном земельном контроле на территории Миньярского городского поселения», Уставом Миньярского городского поселения</w:t>
      </w:r>
    </w:p>
    <w:p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ПОСТАНОВЛЯЮ:</w:t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widowControl/>
        <w:numPr>
          <w:ilvl w:val="0"/>
          <w:numId w:val="2"/>
        </w:numPr>
        <w:suppressAutoHyphens w:val="true"/>
        <w:bidi w:val="0"/>
        <w:spacing w:lineRule="auto" w:line="276" w:before="0" w:after="0"/>
        <w:ind w:left="624" w:right="0" w:hanging="567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Утвердить прилагаемую Программу профилактики нарушений обязательных требований на 2025 год в сфере муниципального жилищного контроля (Приложение № 1).</w:t>
      </w:r>
    </w:p>
    <w:p>
      <w:pPr>
        <w:pStyle w:val="NoSpacing"/>
        <w:widowControl/>
        <w:numPr>
          <w:ilvl w:val="0"/>
          <w:numId w:val="2"/>
        </w:numPr>
        <w:suppressAutoHyphens w:val="true"/>
        <w:bidi w:val="0"/>
        <w:spacing w:lineRule="auto" w:line="276" w:before="0" w:after="0"/>
        <w:ind w:left="680" w:right="0" w:hanging="624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Утвердить перечень мероприятий по профилактике нарушений в сфере муниципального жилищного контроля на 2025 год (Приложение №2).</w:t>
      </w:r>
    </w:p>
    <w:p>
      <w:pPr>
        <w:pStyle w:val="NoSpacing"/>
        <w:widowControl/>
        <w:numPr>
          <w:ilvl w:val="0"/>
          <w:numId w:val="2"/>
        </w:numPr>
        <w:suppressAutoHyphens w:val="true"/>
        <w:bidi w:val="0"/>
        <w:spacing w:lineRule="auto" w:line="276" w:before="0" w:after="0"/>
        <w:ind w:left="680" w:right="0" w:hanging="624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Показатели результативности и эффективности программы профилактики (Приложение № 3)</w:t>
      </w:r>
    </w:p>
    <w:p>
      <w:pPr>
        <w:pStyle w:val="NoSpacing"/>
        <w:widowControl/>
        <w:numPr>
          <w:ilvl w:val="0"/>
          <w:numId w:val="2"/>
        </w:numPr>
        <w:suppressAutoHyphens w:val="true"/>
        <w:bidi w:val="0"/>
        <w:spacing w:lineRule="auto" w:line="276" w:before="0" w:after="0"/>
        <w:ind w:left="680" w:right="0" w:hanging="624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Должностным лицам, уполномоченным осуществлять муниципальный жилищный контроль на территории Миньярского городского поселения, обеспечить в пределах своей компетенции выполнение Программы профилактики нарушений.</w:t>
      </w:r>
    </w:p>
    <w:p>
      <w:pPr>
        <w:pStyle w:val="NoSpacing"/>
        <w:widowControl/>
        <w:numPr>
          <w:ilvl w:val="0"/>
          <w:numId w:val="2"/>
        </w:numPr>
        <w:suppressAutoHyphens w:val="true"/>
        <w:bidi w:val="0"/>
        <w:spacing w:lineRule="auto" w:line="276" w:before="0" w:after="0"/>
        <w:ind w:left="680" w:right="0" w:hanging="624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Контроль за исполнением настоящего постановления оставляю за собой.                                                      </w:t>
      </w:r>
    </w:p>
    <w:p>
      <w:pPr>
        <w:pStyle w:val="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tabs>
          <w:tab w:val="clear" w:pos="708"/>
          <w:tab w:val="left" w:pos="7770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tabs>
          <w:tab w:val="clear" w:pos="708"/>
          <w:tab w:val="left" w:pos="7500" w:leader="none"/>
        </w:tabs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Исполняющий полномочия главы</w:t>
      </w:r>
    </w:p>
    <w:p>
      <w:pPr>
        <w:pStyle w:val="Normal"/>
        <w:tabs>
          <w:tab w:val="clear" w:pos="708"/>
          <w:tab w:val="left" w:pos="7500" w:leader="none"/>
        </w:tabs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Миньярского городского поселения</w:t>
      </w:r>
      <w:r>
        <w:rPr>
          <w:rFonts w:cs="Times New Roman" w:ascii="Times New Roman" w:hAnsi="Times New Roman"/>
          <w:sz w:val="24"/>
          <w:szCs w:val="24"/>
        </w:rPr>
        <w:tab/>
        <w:t xml:space="preserve">         </w:t>
      </w:r>
      <w:r>
        <w:rPr>
          <w:rFonts w:cs="Times New Roman" w:ascii="Times New Roman" w:hAnsi="Times New Roman"/>
          <w:sz w:val="24"/>
          <w:szCs w:val="24"/>
        </w:rPr>
        <w:t>И.В.Арутюнов</w:t>
      </w:r>
    </w:p>
    <w:p>
      <w:pPr>
        <w:pStyle w:val="Normal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before="0" w:after="0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</w:r>
    </w:p>
    <w:p>
      <w:pPr>
        <w:pStyle w:val="Normal"/>
        <w:spacing w:before="0" w:after="0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  <w:t>Приложение  № 1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  <w:t>к Постановлению Администрации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  <w:t>Миньярского городского поселения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  <w:t>от__</w:t>
      </w:r>
      <w:r>
        <w:rPr>
          <w:rFonts w:ascii="Tempora LGC Uni" w:hAnsi="Tempora LGC Uni"/>
          <w:sz w:val="24"/>
          <w:szCs w:val="24"/>
        </w:rPr>
        <w:t>24.12.2024 г.</w:t>
      </w:r>
      <w:r>
        <w:rPr>
          <w:rFonts w:ascii="Tempora LGC Uni" w:hAnsi="Tempora LGC Uni"/>
          <w:sz w:val="24"/>
          <w:szCs w:val="24"/>
        </w:rPr>
        <w:t>№_</w:t>
      </w:r>
      <w:r>
        <w:rPr>
          <w:rFonts w:ascii="Tempora LGC Uni" w:hAnsi="Tempora LGC Uni"/>
          <w:sz w:val="24"/>
          <w:szCs w:val="24"/>
        </w:rPr>
        <w:t>201</w:t>
      </w:r>
      <w:r>
        <w:rPr>
          <w:rFonts w:ascii="Tempora LGC Uni" w:hAnsi="Tempora LGC Uni"/>
          <w:sz w:val="24"/>
          <w:szCs w:val="24"/>
        </w:rPr>
        <w:t>_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empora LGC Uni" w:hAnsi="Tempora LGC Uni"/>
          <w:sz w:val="24"/>
          <w:szCs w:val="24"/>
        </w:rPr>
      </w:pPr>
      <w:r>
        <w:rPr>
          <w:rFonts w:ascii="Tempora LGC Uni" w:hAnsi="Tempora LGC Uni"/>
          <w:sz w:val="24"/>
          <w:szCs w:val="24"/>
        </w:rPr>
        <w:t xml:space="preserve"> </w:t>
      </w:r>
      <w:r>
        <w:rPr>
          <w:rFonts w:ascii="Tempora LGC Uni" w:hAnsi="Tempora LGC Uni"/>
          <w:b/>
          <w:bCs/>
          <w:sz w:val="24"/>
          <w:szCs w:val="24"/>
        </w:rPr>
        <w:t xml:space="preserve"> </w:t>
      </w:r>
      <w:r>
        <w:rPr>
          <w:rFonts w:ascii="Tempora LGC Uni" w:hAnsi="Tempora LGC Uni"/>
          <w:b/>
          <w:bCs/>
          <w:sz w:val="24"/>
          <w:szCs w:val="24"/>
        </w:rPr>
        <w:t>ПРОЕКТ</w:t>
      </w:r>
    </w:p>
    <w:p>
      <w:pPr>
        <w:pStyle w:val="Normal"/>
        <w:spacing w:before="0" w:after="0"/>
        <w:jc w:val="center"/>
        <w:rPr>
          <w:rFonts w:ascii="Tempora LGC Uni" w:hAnsi="Tempora LGC Uni"/>
          <w:b/>
          <w:b/>
          <w:bCs/>
          <w:sz w:val="24"/>
          <w:szCs w:val="24"/>
        </w:rPr>
      </w:pPr>
      <w:r>
        <w:rPr>
          <w:rFonts w:ascii="Tempora LGC Uni" w:hAnsi="Tempora LGC Uni"/>
          <w:b/>
          <w:bCs/>
          <w:sz w:val="24"/>
          <w:szCs w:val="24"/>
        </w:rPr>
        <w:t xml:space="preserve">        </w:t>
      </w:r>
      <w:r>
        <w:rPr>
          <w:rFonts w:ascii="Tempora LGC Uni" w:hAnsi="Tempora LGC Uni"/>
          <w:b/>
          <w:bCs/>
          <w:sz w:val="24"/>
          <w:szCs w:val="24"/>
        </w:rPr>
        <w:t>Программа профилактики нарушений обязательных требований в сфере муниципального жилищного контроля на 2025 год</w:t>
      </w:r>
    </w:p>
    <w:p>
      <w:pPr>
        <w:pStyle w:val="Normal"/>
        <w:spacing w:before="0" w:after="0"/>
        <w:jc w:val="center"/>
        <w:rPr>
          <w:rFonts w:ascii="Tempora LGC Uni" w:hAnsi="Tempora LGC Uni"/>
          <w:b/>
          <w:b/>
          <w:bCs/>
          <w:sz w:val="24"/>
          <w:szCs w:val="24"/>
        </w:rPr>
      </w:pPr>
      <w:r>
        <w:rPr>
          <w:rFonts w:ascii="Tempora LGC Uni" w:hAnsi="Tempora LGC Uni"/>
          <w:b/>
          <w:bCs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1. Настоящая программа профилактики нарушений обязательных требований, установленных муниципальными правовыми актами (далее-Программа профилактики), разработана в соответствии с Федеральным законом от 31.07.2020 № 248-ФЗ «О государственном контроле (надзоре) и муниципальном контроле в Российской Федерации» и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в целях снижения рисков причинения ущерба муниципальному жилищному фонду.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2.  Муниципальный жилищный контроль осуществляется в Администрации Миньярского городского поселения в соответствии с: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Жилищным кодексом Российской Федерации;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Федеральным законом от 06.10.2003 № 131-ФЗ «Об общих принципах организации местного самоуправления в Российской Федерации;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Федеральным законом от 31.07.2020 № 248-ФЗ «О государственном контроле (надзоре) и муниципальном контроле в Российской Федерации;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Правилами содержания общего имущества в многоквартирном доме и правилами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установлению продолжительность, утвержденными Постановлением Правительства Российской Федерации от 13.08.2006 № 491;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Постановлением Правительства Российской Федерации от 15.05.2013 № 416 «О порядке осуществления деятельности по управлению многоквартирными дамами»;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Постановлением Госстроя от 27 сентября 2003 № 170 «Об утверждении Правил и норм технической эксплуатации жилищного фонда»;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- Положением «О муниципальном жилищном контроле на территории Миньярского городского поселения» от 24.09.2021 № 43.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3. Целью программы является: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3.1. Предупреждение нарушений,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4. Задачами программы являются: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4.1. Укрепление системы профилактики нарушений обязательных требований путем активизации профилактической деятельности 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4.2. Выявление причин, факторов и условий, способствующих нарушениям обязательных требований.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4.3. Повышение правосознания и правовой культуры руководителей юридических лиц и индивидуальных предпринимателей, граждан при использовании муниципального жилищного фонда.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5. Программа профилактики разработана на 2025 год.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6. Субъектами профилактических мероприятий при осуществлении муниципального жилищного контроля являются юридические лица, индивидуальные предприниматели, граждане, занимающие муниципальные жилые помещения на территории Миньярского городского поселения.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7. В рамках профилактики предупреждения нарушений, установленных законодательством всех уровней, КУМИ и ЗО Миньярского городского поселения осуществляется прием представителей юридических лиц, индивидуальных предпринимателей и граждан, а также проводятся консультации и даются пояснения по вопросам соблюдения жилищного законодательства.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8. Ожидаемый результат реализации программы: отсутствие нарушений, соблюдения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Приложение № 2 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к Постановлению Администрации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Миньярского городского поселения</w:t>
      </w:r>
    </w:p>
    <w:p>
      <w:pPr>
        <w:pStyle w:val="Normal"/>
        <w:spacing w:before="0" w:after="0"/>
        <w:jc w:val="righ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от______</w:t>
      </w:r>
      <w:r>
        <w:rPr>
          <w:rFonts w:ascii="Tempora LGC Uni" w:hAnsi="Tempora LGC Uni"/>
          <w:b w:val="false"/>
          <w:bCs w:val="false"/>
          <w:sz w:val="24"/>
          <w:szCs w:val="24"/>
        </w:rPr>
        <w:t>24.12.2024г.</w:t>
      </w:r>
      <w:r>
        <w:rPr>
          <w:rFonts w:ascii="Tempora LGC Uni" w:hAnsi="Tempora LGC Uni"/>
          <w:b w:val="false"/>
          <w:bCs w:val="false"/>
          <w:sz w:val="24"/>
          <w:szCs w:val="24"/>
        </w:rPr>
        <w:t>_№_</w:t>
      </w: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201  </w:t>
      </w:r>
    </w:p>
    <w:p>
      <w:pPr>
        <w:pStyle w:val="Normal"/>
        <w:spacing w:before="0" w:after="0"/>
        <w:jc w:val="righ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empora LGC Uni" w:hAnsi="Tempora LGC Uni"/>
          <w:b/>
          <w:b/>
          <w:bCs/>
          <w:sz w:val="24"/>
          <w:szCs w:val="24"/>
        </w:rPr>
      </w:pPr>
      <w:r>
        <w:rPr>
          <w:rFonts w:ascii="Tempora LGC Uni" w:hAnsi="Tempora LGC Uni"/>
          <w:b/>
          <w:bCs/>
          <w:sz w:val="24"/>
          <w:szCs w:val="24"/>
        </w:rPr>
        <w:t xml:space="preserve">Перечень мероприятий по профилактике нарушений </w:t>
      </w:r>
    </w:p>
    <w:p>
      <w:pPr>
        <w:pStyle w:val="Normal"/>
        <w:spacing w:before="0" w:after="0"/>
        <w:jc w:val="center"/>
        <w:rPr>
          <w:rFonts w:ascii="Tempora LGC Uni" w:hAnsi="Tempora LGC Uni"/>
          <w:b/>
          <w:b/>
          <w:bCs/>
          <w:sz w:val="24"/>
          <w:szCs w:val="24"/>
        </w:rPr>
      </w:pPr>
      <w:r>
        <w:rPr>
          <w:rFonts w:ascii="Tempora LGC Uni" w:hAnsi="Tempora LGC Uni"/>
          <w:b/>
          <w:bCs/>
          <w:sz w:val="24"/>
          <w:szCs w:val="24"/>
        </w:rPr>
        <w:t>в сфере муниципального жилищного контроля на 2025 год</w:t>
      </w:r>
    </w:p>
    <w:p>
      <w:pPr>
        <w:pStyle w:val="Normal"/>
        <w:spacing w:before="0" w:after="0"/>
        <w:jc w:val="center"/>
        <w:rPr>
          <w:rFonts w:ascii="Tempora LGC Uni" w:hAnsi="Tempora LGC Uni"/>
          <w:b/>
          <w:b/>
          <w:bCs/>
          <w:sz w:val="24"/>
          <w:szCs w:val="24"/>
        </w:rPr>
      </w:pPr>
      <w:r>
        <w:rPr>
          <w:rFonts w:ascii="Tempora LGC Uni" w:hAnsi="Tempora LGC Uni"/>
          <w:b/>
          <w:bCs/>
          <w:sz w:val="24"/>
          <w:szCs w:val="24"/>
        </w:rPr>
      </w:r>
    </w:p>
    <w:tbl>
      <w:tblPr>
        <w:tblW w:w="10396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71"/>
        <w:gridCol w:w="4527"/>
        <w:gridCol w:w="2604"/>
        <w:gridCol w:w="2593"/>
      </w:tblGrid>
      <w:tr>
        <w:trPr/>
        <w:tc>
          <w:tcPr>
            <w:tcW w:w="671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  <w:t>№</w:t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п/п</w:t>
            </w:r>
          </w:p>
        </w:tc>
        <w:tc>
          <w:tcPr>
            <w:tcW w:w="4527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Наименование мероприятия по профилактике нарушений юридическими лицами и индивидуальными предпринимателями обязательных требований</w:t>
            </w:r>
          </w:p>
        </w:tc>
        <w:tc>
          <w:tcPr>
            <w:tcW w:w="2604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Срок исполнения</w:t>
            </w:r>
          </w:p>
        </w:tc>
        <w:tc>
          <w:tcPr>
            <w:tcW w:w="2593" w:type="dxa"/>
            <w:tcBorders/>
          </w:tcPr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jc w:val="center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Ответственный исполнитель</w:t>
            </w:r>
          </w:p>
        </w:tc>
      </w:tr>
      <w:tr>
        <w:trPr/>
        <w:tc>
          <w:tcPr>
            <w:tcW w:w="67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1.</w:t>
            </w:r>
          </w:p>
        </w:tc>
        <w:tc>
          <w:tcPr>
            <w:tcW w:w="4527" w:type="dxa"/>
            <w:tcBorders/>
          </w:tcPr>
          <w:p>
            <w:pPr>
              <w:pStyle w:val="Style22"/>
              <w:widowControl w:val="false"/>
              <w:spacing w:before="0" w:after="200"/>
              <w:jc w:val="both"/>
              <w:rPr/>
            </w:pPr>
            <w:r>
              <w:rPr/>
              <w:t>Размещение на официальном сайте Администрации Миньярского городского поселения в сети «Интернет» перечня и текстов нормативных правовых актов, содержащих обязательные требования, оценка соблюдения которых является предметом муниципального жилищного контроля.</w:t>
            </w:r>
          </w:p>
        </w:tc>
        <w:tc>
          <w:tcPr>
            <w:tcW w:w="2604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В течение года</w:t>
            </w:r>
          </w:p>
        </w:tc>
        <w:tc>
          <w:tcPr>
            <w:tcW w:w="2593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Инспектор КУМИ и ЗО МГП</w:t>
            </w:r>
          </w:p>
        </w:tc>
      </w:tr>
      <w:tr>
        <w:trPr/>
        <w:tc>
          <w:tcPr>
            <w:tcW w:w="67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2.</w:t>
            </w:r>
          </w:p>
        </w:tc>
        <w:tc>
          <w:tcPr>
            <w:tcW w:w="4527" w:type="dxa"/>
            <w:tcBorders/>
          </w:tcPr>
          <w:p>
            <w:pPr>
              <w:pStyle w:val="Style22"/>
              <w:widowControl w:val="false"/>
              <w:spacing w:before="0" w:after="200"/>
              <w:jc w:val="both"/>
              <w:rPr/>
            </w:pPr>
            <w:r>
              <w:rPr/>
              <w:t>Консультирование подконтрольных субъектов по вопросам соблюдения требований жилищного законодательства.</w:t>
            </w:r>
          </w:p>
        </w:tc>
        <w:tc>
          <w:tcPr>
            <w:tcW w:w="2604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Постоянно</w:t>
            </w:r>
          </w:p>
        </w:tc>
        <w:tc>
          <w:tcPr>
            <w:tcW w:w="2593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Инспектор КУМИ и ЗО МГП</w:t>
            </w:r>
          </w:p>
        </w:tc>
      </w:tr>
      <w:tr>
        <w:trPr/>
        <w:tc>
          <w:tcPr>
            <w:tcW w:w="67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3.</w:t>
            </w:r>
          </w:p>
        </w:tc>
        <w:tc>
          <w:tcPr>
            <w:tcW w:w="4527" w:type="dxa"/>
            <w:tcBorders/>
          </w:tcPr>
          <w:p>
            <w:pPr>
              <w:pStyle w:val="Style22"/>
              <w:widowControl w:val="false"/>
              <w:spacing w:before="0" w:after="200"/>
              <w:jc w:val="both"/>
              <w:rPr/>
            </w:pPr>
            <w:r>
              <w:rPr/>
              <w:t>Информирование юридических лиц, индивидуальных предпринимателей по вопросам соблюдения обязательных требований путем проведения семинаров, разъяснительной работы в средствах массовой информации, подготовки и распространения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 мероприятий, направленных на внедрение и обеспечение соблюдения обязательных требований.</w:t>
            </w:r>
          </w:p>
        </w:tc>
        <w:tc>
          <w:tcPr>
            <w:tcW w:w="2604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Постоянно по мере необходимости</w:t>
            </w:r>
          </w:p>
        </w:tc>
        <w:tc>
          <w:tcPr>
            <w:tcW w:w="2593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Инспектор КУМИ и ЗО МГП</w:t>
            </w:r>
          </w:p>
        </w:tc>
      </w:tr>
      <w:tr>
        <w:trPr/>
        <w:tc>
          <w:tcPr>
            <w:tcW w:w="67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4.</w:t>
            </w:r>
          </w:p>
        </w:tc>
        <w:tc>
          <w:tcPr>
            <w:tcW w:w="4527" w:type="dxa"/>
            <w:tcBorders/>
          </w:tcPr>
          <w:p>
            <w:pPr>
              <w:pStyle w:val="Style22"/>
              <w:widowControl w:val="false"/>
              <w:spacing w:before="0" w:after="200"/>
              <w:jc w:val="both"/>
              <w:rPr/>
            </w:pPr>
            <w:r>
              <w:rPr/>
              <w:t>Обобщение практики осуществления муниципального жилищного контроля и размещение на официальном сайте Администрации Миньярского городского поселения в сети «Интернет»,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предпринимателями, гражданами в целях недопущения таких нарушений.</w:t>
            </w:r>
          </w:p>
        </w:tc>
        <w:tc>
          <w:tcPr>
            <w:tcW w:w="2604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По мере необходимости</w:t>
            </w:r>
          </w:p>
        </w:tc>
        <w:tc>
          <w:tcPr>
            <w:tcW w:w="2593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Инспектор КУМИ и ЗО МГП</w:t>
            </w:r>
          </w:p>
        </w:tc>
      </w:tr>
      <w:tr>
        <w:trPr/>
        <w:tc>
          <w:tcPr>
            <w:tcW w:w="67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5.</w:t>
            </w:r>
          </w:p>
        </w:tc>
        <w:tc>
          <w:tcPr>
            <w:tcW w:w="4527" w:type="dxa"/>
            <w:tcBorders/>
          </w:tcPr>
          <w:p>
            <w:pPr>
              <w:pStyle w:val="Style22"/>
              <w:widowControl w:val="false"/>
              <w:spacing w:before="0" w:after="200"/>
              <w:jc w:val="both"/>
              <w:rPr/>
            </w:pPr>
            <w:r>
              <w:rPr/>
              <w:t>Выдача предостережений о недопустимости нарушения обязательных требований в соответствии с частями 5-7 статьи 8.2 Федерального закона  от 26 декабря 2008 года № 294-ФЗ «О защите прав юридических лиц и индивидуальных предпринимателей при осуществлении муниципального жилищного контроля», если иной порядок не установлен федеральным законом.</w:t>
            </w:r>
          </w:p>
        </w:tc>
        <w:tc>
          <w:tcPr>
            <w:tcW w:w="2604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По мере необходимости</w:t>
            </w:r>
          </w:p>
        </w:tc>
        <w:tc>
          <w:tcPr>
            <w:tcW w:w="2593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Инспектор КУМИ и ЗО МГП</w:t>
            </w:r>
          </w:p>
        </w:tc>
      </w:tr>
      <w:tr>
        <w:trPr/>
        <w:tc>
          <w:tcPr>
            <w:tcW w:w="67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6.</w:t>
            </w:r>
          </w:p>
        </w:tc>
        <w:tc>
          <w:tcPr>
            <w:tcW w:w="4527" w:type="dxa"/>
            <w:tcBorders/>
          </w:tcPr>
          <w:p>
            <w:pPr>
              <w:pStyle w:val="Style22"/>
              <w:widowControl w:val="false"/>
              <w:spacing w:before="0" w:after="200"/>
              <w:jc w:val="both"/>
              <w:rPr/>
            </w:pPr>
            <w:r>
              <w:rPr/>
              <w:t>Размещение в Государственной информационной сети жилищно-коммунального хозяйства (ГИС ЖКХ) информации о результатах контрольной деятельности</w:t>
            </w:r>
          </w:p>
        </w:tc>
        <w:tc>
          <w:tcPr>
            <w:tcW w:w="2604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Постоянно</w:t>
            </w:r>
          </w:p>
        </w:tc>
        <w:tc>
          <w:tcPr>
            <w:tcW w:w="2593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Инспектор КУМИ и ЗО МГП</w:t>
            </w:r>
          </w:p>
        </w:tc>
      </w:tr>
      <w:tr>
        <w:trPr/>
        <w:tc>
          <w:tcPr>
            <w:tcW w:w="67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/>
            </w:pPr>
            <w:r>
              <w:rPr/>
              <w:t>7.</w:t>
            </w:r>
          </w:p>
        </w:tc>
        <w:tc>
          <w:tcPr>
            <w:tcW w:w="4527" w:type="dxa"/>
            <w:tcBorders/>
          </w:tcPr>
          <w:p>
            <w:pPr>
              <w:pStyle w:val="Style22"/>
              <w:widowControl w:val="false"/>
              <w:spacing w:before="0" w:after="200"/>
              <w:jc w:val="both"/>
              <w:rPr/>
            </w:pPr>
            <w:r>
              <w:rPr/>
              <w:t>Разработка и утверждение программы профилактики нарушений обязательных требований при осуществлении муниципального жилищного контроля на 2025 год.</w:t>
            </w:r>
          </w:p>
        </w:tc>
        <w:tc>
          <w:tcPr>
            <w:tcW w:w="2604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сентябрь-декабрь 2025</w:t>
            </w:r>
          </w:p>
        </w:tc>
        <w:tc>
          <w:tcPr>
            <w:tcW w:w="2593" w:type="dxa"/>
            <w:tcBorders/>
          </w:tcPr>
          <w:p>
            <w:pPr>
              <w:pStyle w:val="Style22"/>
              <w:widowControl w:val="false"/>
              <w:rPr/>
            </w:pPr>
            <w:r>
              <w:rPr/>
            </w:r>
          </w:p>
          <w:p>
            <w:pPr>
              <w:pStyle w:val="Style22"/>
              <w:widowControl w:val="false"/>
              <w:spacing w:before="0" w:after="200"/>
              <w:rPr/>
            </w:pPr>
            <w:r>
              <w:rPr/>
              <w:t>Инспектор КУМИ и ЗО МГП</w:t>
            </w:r>
          </w:p>
        </w:tc>
      </w:tr>
    </w:tbl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Приложение № 3 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к Постановлению Администрации</w:t>
      </w:r>
    </w:p>
    <w:p>
      <w:pPr>
        <w:pStyle w:val="Normal"/>
        <w:spacing w:lineRule="auto" w:line="240" w:before="0" w:after="0"/>
        <w:jc w:val="righ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Миньярского городского поселения</w:t>
      </w:r>
    </w:p>
    <w:p>
      <w:pPr>
        <w:pStyle w:val="Normal"/>
        <w:spacing w:before="0" w:after="0"/>
        <w:jc w:val="righ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>от___</w:t>
      </w:r>
      <w:r>
        <w:rPr>
          <w:rFonts w:ascii="Tempora LGC Uni" w:hAnsi="Tempora LGC Uni"/>
          <w:b w:val="false"/>
          <w:bCs w:val="false"/>
          <w:sz w:val="24"/>
          <w:szCs w:val="24"/>
        </w:rPr>
        <w:t>24.12.2024г.</w:t>
      </w:r>
      <w:r>
        <w:rPr>
          <w:rFonts w:ascii="Tempora LGC Uni" w:hAnsi="Tempora LGC Uni"/>
          <w:b w:val="false"/>
          <w:bCs w:val="false"/>
          <w:sz w:val="24"/>
          <w:szCs w:val="24"/>
        </w:rPr>
        <w:t>_№____</w:t>
      </w:r>
      <w:r>
        <w:rPr>
          <w:rFonts w:ascii="Tempora LGC Uni" w:hAnsi="Tempora LGC Uni"/>
          <w:b w:val="false"/>
          <w:bCs w:val="false"/>
          <w:sz w:val="24"/>
          <w:szCs w:val="24"/>
        </w:rPr>
        <w:t>201</w:t>
      </w:r>
      <w:r>
        <w:rPr>
          <w:rFonts w:ascii="Tempora LGC Uni" w:hAnsi="Tempora LGC Uni"/>
          <w:b w:val="false"/>
          <w:bCs w:val="false"/>
          <w:sz w:val="24"/>
          <w:szCs w:val="24"/>
        </w:rPr>
        <w:t>___</w:t>
      </w:r>
    </w:p>
    <w:p>
      <w:pPr>
        <w:pStyle w:val="Normal"/>
        <w:spacing w:before="0" w:after="0"/>
        <w:jc w:val="right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empora LGC Uni" w:hAnsi="Tempora LGC Uni"/>
          <w:b/>
          <w:b/>
          <w:bCs/>
          <w:sz w:val="24"/>
          <w:szCs w:val="24"/>
        </w:rPr>
      </w:pPr>
      <w:r>
        <w:rPr>
          <w:rFonts w:ascii="Tempora LGC Uni" w:hAnsi="Tempora LGC Uni"/>
          <w:b/>
          <w:bCs/>
          <w:sz w:val="24"/>
          <w:szCs w:val="24"/>
        </w:rPr>
        <w:t>Показатели результативности и эффективности программы профилактики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 </w:t>
      </w: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Результатом реализации Программы является предупреждение нарушений обязательных требований, соблюдение которых оценивается при осуществлении муниципального контроля. 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 </w:t>
      </w:r>
      <w:r>
        <w:rPr>
          <w:rFonts w:ascii="Tempora LGC Uni" w:hAnsi="Tempora LGC Uni"/>
          <w:b w:val="false"/>
          <w:bCs w:val="false"/>
          <w:sz w:val="24"/>
          <w:szCs w:val="24"/>
        </w:rPr>
        <w:t>Эффективность Программы оценивается по отчетным показателям. Отчетные показатели отражаются в Программе на плановый период по итогам календарного года.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   </w:t>
      </w:r>
      <w:r>
        <w:rPr>
          <w:rFonts w:ascii="Tempora LGC Uni" w:hAnsi="Tempora LGC Uni"/>
          <w:b w:val="false"/>
          <w:bCs w:val="false"/>
          <w:sz w:val="24"/>
          <w:szCs w:val="24"/>
        </w:rPr>
        <w:t xml:space="preserve">Программа считается эффективной в случае, если все мероприятия, запланированные на отчетный год, выполнены в полном объеме. Если реализация Программы не отвечает вышеуказанному критерию, уровень эффективности ее реализации признается неудовлетворительным. </w:t>
      </w:r>
    </w:p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>
          <w:rFonts w:ascii="Tempora LGC Uni" w:hAnsi="Tempora LGC Uni"/>
          <w:b w:val="false"/>
          <w:bCs w:val="false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empora LGC Uni" w:hAnsi="Tempora LGC Uni"/>
          <w:b/>
          <w:b/>
          <w:bCs/>
          <w:sz w:val="24"/>
          <w:szCs w:val="24"/>
        </w:rPr>
      </w:pPr>
      <w:r>
        <w:rPr>
          <w:rFonts w:ascii="Tempora LGC Uni" w:hAnsi="Tempora LGC Uni"/>
          <w:b/>
          <w:bCs/>
          <w:sz w:val="24"/>
          <w:szCs w:val="24"/>
        </w:rPr>
        <w:t>Отчетные показатели оценки эффективности Программы на 202</w:t>
      </w:r>
      <w:r>
        <w:rPr>
          <w:rFonts w:ascii="Tempora LGC Uni" w:hAnsi="Tempora LGC Uni"/>
          <w:b/>
          <w:bCs/>
          <w:sz w:val="24"/>
          <w:szCs w:val="24"/>
        </w:rPr>
        <w:t xml:space="preserve">4 </w:t>
      </w:r>
      <w:r>
        <w:rPr>
          <w:rFonts w:ascii="Tempora LGC Uni" w:hAnsi="Tempora LGC Uni"/>
          <w:b/>
          <w:bCs/>
          <w:sz w:val="24"/>
          <w:szCs w:val="24"/>
        </w:rPr>
        <w:t>год.</w:t>
      </w:r>
    </w:p>
    <w:tbl>
      <w:tblPr>
        <w:tblW w:w="10396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9"/>
        <w:gridCol w:w="7311"/>
        <w:gridCol w:w="1726"/>
      </w:tblGrid>
      <w:tr>
        <w:trPr/>
        <w:tc>
          <w:tcPr>
            <w:tcW w:w="135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>
                <w:rFonts w:ascii="Tempora LGC Uni" w:hAnsi="Tempora LGC Uni"/>
                <w:sz w:val="24"/>
                <w:szCs w:val="24"/>
              </w:rPr>
            </w:pPr>
            <w:r>
              <w:rPr>
                <w:rFonts w:ascii="Tempora LGC Uni" w:hAnsi="Tempora LGC Uni"/>
                <w:sz w:val="24"/>
                <w:szCs w:val="24"/>
              </w:rPr>
              <w:t xml:space="preserve">№ </w:t>
            </w:r>
            <w:r>
              <w:rPr>
                <w:rFonts w:ascii="Tempora LGC Uni" w:hAnsi="Tempora LGC Uni"/>
                <w:sz w:val="24"/>
                <w:szCs w:val="24"/>
              </w:rPr>
              <w:t>п/п</w:t>
            </w:r>
          </w:p>
        </w:tc>
        <w:tc>
          <w:tcPr>
            <w:tcW w:w="731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>
                <w:rFonts w:ascii="Tempora LGC Uni" w:hAnsi="Tempora LGC Uni"/>
                <w:sz w:val="24"/>
                <w:szCs w:val="24"/>
              </w:rPr>
            </w:pPr>
            <w:r>
              <w:rPr>
                <w:rFonts w:ascii="Tempora LGC Uni" w:hAnsi="Tempora LGC Uni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26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Значение показателя</w:t>
            </w:r>
          </w:p>
        </w:tc>
      </w:tr>
      <w:tr>
        <w:trPr/>
        <w:tc>
          <w:tcPr>
            <w:tcW w:w="135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>
                <w:rFonts w:ascii="Tempora LGC Uni" w:hAnsi="Tempora LGC Uni"/>
                <w:sz w:val="24"/>
                <w:szCs w:val="24"/>
              </w:rPr>
            </w:pPr>
            <w:r>
              <w:rPr>
                <w:rFonts w:ascii="Tempora LGC Uni" w:hAnsi="Tempora LGC Uni"/>
                <w:sz w:val="24"/>
                <w:szCs w:val="24"/>
              </w:rPr>
              <w:t>1.</w:t>
            </w:r>
          </w:p>
        </w:tc>
        <w:tc>
          <w:tcPr>
            <w:tcW w:w="7311" w:type="dxa"/>
            <w:tcBorders/>
          </w:tcPr>
          <w:p>
            <w:pPr>
              <w:pStyle w:val="Style22"/>
              <w:widowControl w:val="false"/>
              <w:spacing w:before="0" w:after="200"/>
              <w:jc w:val="both"/>
              <w:rPr>
                <w:rFonts w:ascii="Tempora LGC Uni" w:hAnsi="Tempora LGC Uni"/>
                <w:sz w:val="24"/>
                <w:szCs w:val="24"/>
              </w:rPr>
            </w:pPr>
            <w:r>
              <w:rPr>
                <w:rFonts w:ascii="Tempora LGC Uni" w:hAnsi="Tempora LGC Uni"/>
                <w:sz w:val="24"/>
                <w:szCs w:val="24"/>
              </w:rPr>
              <w:t>Наличие информации, обязательной к размещению, на официальном сайте Администрации Миньярского городского поселения</w:t>
            </w:r>
          </w:p>
        </w:tc>
        <w:tc>
          <w:tcPr>
            <w:tcW w:w="1726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100%</w:t>
            </w:r>
          </w:p>
        </w:tc>
      </w:tr>
      <w:tr>
        <w:trPr/>
        <w:tc>
          <w:tcPr>
            <w:tcW w:w="135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>
                <w:rFonts w:ascii="Tempora LGC Uni" w:hAnsi="Tempora LGC Uni"/>
                <w:sz w:val="24"/>
                <w:szCs w:val="24"/>
              </w:rPr>
            </w:pPr>
            <w:r>
              <w:rPr>
                <w:rFonts w:ascii="Tempora LGC Uni" w:hAnsi="Tempora LGC Uni"/>
                <w:sz w:val="24"/>
                <w:szCs w:val="24"/>
              </w:rPr>
              <w:t>2.</w:t>
            </w:r>
          </w:p>
        </w:tc>
        <w:tc>
          <w:tcPr>
            <w:tcW w:w="7311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>
                <w:rFonts w:ascii="Tempora LGC Uni" w:hAnsi="Tempora LGC Uni"/>
                <w:sz w:val="24"/>
                <w:szCs w:val="24"/>
              </w:rPr>
            </w:pPr>
            <w:r>
              <w:rPr>
                <w:rFonts w:ascii="Tempora LGC Uni" w:hAnsi="Tempora LGC Uni"/>
                <w:sz w:val="24"/>
                <w:szCs w:val="24"/>
              </w:rPr>
              <w:t>Исполнение подконтрольными субъектами предостережений о недопустимости нарушения обязательных требований</w:t>
            </w:r>
          </w:p>
          <w:p>
            <w:pPr>
              <w:pStyle w:val="Style22"/>
              <w:widowControl w:val="false"/>
              <w:spacing w:before="0" w:after="200"/>
              <w:rPr>
                <w:rFonts w:ascii="Tempora LGC Uni" w:hAnsi="Tempora LGC Uni"/>
                <w:sz w:val="24"/>
                <w:szCs w:val="24"/>
              </w:rPr>
            </w:pPr>
            <w:r>
              <w:rPr>
                <w:rFonts w:ascii="Tempora LGC Uni" w:hAnsi="Tempora LGC Uni"/>
                <w:sz w:val="24"/>
                <w:szCs w:val="24"/>
              </w:rPr>
            </w:r>
          </w:p>
        </w:tc>
        <w:tc>
          <w:tcPr>
            <w:tcW w:w="1726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100%</w:t>
            </w:r>
          </w:p>
        </w:tc>
      </w:tr>
      <w:tr>
        <w:trPr/>
        <w:tc>
          <w:tcPr>
            <w:tcW w:w="135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>
                <w:rFonts w:ascii="Tempora LGC Uni" w:hAnsi="Tempora LGC Uni"/>
                <w:sz w:val="24"/>
                <w:szCs w:val="24"/>
              </w:rPr>
            </w:pPr>
            <w:r>
              <w:rPr>
                <w:rFonts w:ascii="Tempora LGC Uni" w:hAnsi="Tempora LGC Uni"/>
                <w:sz w:val="24"/>
                <w:szCs w:val="24"/>
              </w:rPr>
              <w:t>3.</w:t>
            </w:r>
          </w:p>
        </w:tc>
        <w:tc>
          <w:tcPr>
            <w:tcW w:w="7311" w:type="dxa"/>
            <w:tcBorders/>
          </w:tcPr>
          <w:p>
            <w:pPr>
              <w:pStyle w:val="Style22"/>
              <w:widowControl w:val="false"/>
              <w:spacing w:before="0" w:after="200"/>
              <w:jc w:val="both"/>
              <w:rPr>
                <w:rFonts w:ascii="Tempora LGC Uni" w:hAnsi="Tempora LGC Uni"/>
                <w:sz w:val="24"/>
                <w:szCs w:val="24"/>
              </w:rPr>
            </w:pPr>
            <w:r>
              <w:rPr>
                <w:rFonts w:ascii="Tempora LGC Uni" w:hAnsi="Tempora LGC Uni"/>
                <w:sz w:val="24"/>
                <w:szCs w:val="24"/>
              </w:rPr>
              <w:t>Внесение информации о проводимых проверках юридических лиц и индивидуальных предпринимателей и их результатах в Государственную информационную систему жилищно-коммунального хозяйства и в  ФГИС «Единый реестр проверок»</w:t>
            </w:r>
          </w:p>
        </w:tc>
        <w:tc>
          <w:tcPr>
            <w:tcW w:w="1726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100%</w:t>
            </w:r>
          </w:p>
        </w:tc>
      </w:tr>
      <w:tr>
        <w:trPr/>
        <w:tc>
          <w:tcPr>
            <w:tcW w:w="1359" w:type="dxa"/>
            <w:tcBorders/>
          </w:tcPr>
          <w:p>
            <w:pPr>
              <w:pStyle w:val="Style22"/>
              <w:widowControl w:val="false"/>
              <w:spacing w:before="0" w:after="200"/>
              <w:jc w:val="center"/>
              <w:rPr>
                <w:rFonts w:ascii="Tempora LGC Uni" w:hAnsi="Tempora LGC Uni"/>
                <w:sz w:val="24"/>
                <w:szCs w:val="24"/>
              </w:rPr>
            </w:pPr>
            <w:r>
              <w:rPr>
                <w:rFonts w:ascii="Tempora LGC Uni" w:hAnsi="Tempora LGC Uni"/>
                <w:sz w:val="24"/>
                <w:szCs w:val="24"/>
              </w:rPr>
              <w:t>4.</w:t>
            </w:r>
          </w:p>
        </w:tc>
        <w:tc>
          <w:tcPr>
            <w:tcW w:w="7311" w:type="dxa"/>
            <w:tcBorders/>
          </w:tcPr>
          <w:p>
            <w:pPr>
              <w:pStyle w:val="Style22"/>
              <w:widowControl w:val="false"/>
              <w:spacing w:before="0" w:after="200"/>
              <w:rPr>
                <w:rFonts w:ascii="Tempora LGC Uni" w:hAnsi="Tempora LGC Uni"/>
                <w:sz w:val="24"/>
                <w:szCs w:val="24"/>
              </w:rPr>
            </w:pPr>
            <w:r>
              <w:rPr>
                <w:rFonts w:ascii="Tempora LGC Uni" w:hAnsi="Tempora LGC Uni"/>
                <w:sz w:val="24"/>
                <w:szCs w:val="24"/>
              </w:rPr>
              <w:t>Информирование подконтрольных субъектов по вопросам соблюдения обязательных требований, в том числе посредством проведения разъяснительной работы в средствах массовой информации, на официальном сайте Администрации Миньярского городского поселения, а также проведения семинаров, конференций.</w:t>
            </w:r>
          </w:p>
        </w:tc>
        <w:tc>
          <w:tcPr>
            <w:tcW w:w="1726" w:type="dxa"/>
            <w:tcBorders/>
          </w:tcPr>
          <w:p>
            <w:pPr>
              <w:pStyle w:val="Style22"/>
              <w:widowControl w:val="false"/>
              <w:suppressLineNumbers/>
              <w:spacing w:before="0" w:after="200"/>
              <w:rPr/>
            </w:pPr>
            <w:r>
              <w:rPr/>
            </w:r>
          </w:p>
          <w:p>
            <w:pPr>
              <w:pStyle w:val="Style22"/>
              <w:widowControl w:val="false"/>
              <w:suppressLineNumbers/>
              <w:spacing w:before="0" w:after="200"/>
              <w:jc w:val="center"/>
              <w:rPr/>
            </w:pPr>
            <w:r>
              <w:rPr/>
              <w:t>По мере необходимости</w:t>
            </w:r>
          </w:p>
        </w:tc>
      </w:tr>
    </w:tbl>
    <w:p>
      <w:pPr>
        <w:pStyle w:val="Normal"/>
        <w:spacing w:before="0" w:after="0"/>
        <w:jc w:val="both"/>
        <w:rPr>
          <w:rFonts w:ascii="Tempora LGC Uni" w:hAnsi="Tempora LGC Uni"/>
          <w:b w:val="false"/>
          <w:b w:val="false"/>
          <w:bCs w:val="false"/>
          <w:sz w:val="24"/>
          <w:szCs w:val="24"/>
        </w:rPr>
      </w:pPr>
      <w:r>
        <w:rPr/>
      </w:r>
    </w:p>
    <w:sectPr>
      <w:type w:val="nextPage"/>
      <w:pgSz w:w="11906" w:h="16838"/>
      <w:pgMar w:left="1080" w:right="430" w:gutter="0" w:header="0" w:top="993" w:footer="0" w:bottom="993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Open Sans">
    <w:charset w:val="01"/>
    <w:family w:val="roman"/>
    <w:pitch w:val="variable"/>
  </w:font>
  <w:font w:name="Courier New">
    <w:charset w:val="01"/>
    <w:family w:val="roman"/>
    <w:pitch w:val="variable"/>
  </w:font>
  <w:font w:name="Times New Roman">
    <w:charset w:val="01"/>
    <w:family w:val="roman"/>
    <w:pitch w:val="variable"/>
  </w:font>
  <w:font w:name="Bookman Old Style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94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6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8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0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2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4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6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8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05" w:hanging="18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27bf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basedOn w:val="DefaultParagraphFont"/>
    <w:uiPriority w:val="99"/>
    <w:semiHidden/>
    <w:unhideWhenUsed/>
    <w:rsid w:val="00596ea0"/>
    <w:rPr>
      <w:color w:val="0000FF"/>
      <w:u w:val="single"/>
    </w:rPr>
  </w:style>
  <w:style w:type="character" w:styleId="Style15" w:customStyle="1">
    <w:name w:val="Текст выноски Знак"/>
    <w:basedOn w:val="DefaultParagraphFont"/>
    <w:link w:val="a5"/>
    <w:uiPriority w:val="99"/>
    <w:semiHidden/>
    <w:qFormat/>
    <w:rsid w:val="00596ea0"/>
    <w:rPr>
      <w:rFonts w:ascii="Tahoma" w:hAnsi="Tahoma" w:cs="Tahoma"/>
      <w:sz w:val="16"/>
      <w:szCs w:val="16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Open Sans" w:hAnsi="Open Sans" w:eastAsia="WenQuanYi Micro Hei" w:cs="Lohit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ohit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sPlusNonformat" w:customStyle="1">
    <w:name w:val="ConsPlusNonformat"/>
    <w:qFormat/>
    <w:rsid w:val="00596ea0"/>
    <w:pPr>
      <w:widowControl w:val="false"/>
      <w:suppressAutoHyphens w:val="true"/>
      <w:bidi w:val="0"/>
      <w:spacing w:lineRule="auto" w:line="240"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BalloonText">
    <w:name w:val="Balloon Text"/>
    <w:basedOn w:val="Normal"/>
    <w:link w:val="a6"/>
    <w:uiPriority w:val="99"/>
    <w:semiHidden/>
    <w:unhideWhenUsed/>
    <w:qFormat/>
    <w:rsid w:val="00596ea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e7533"/>
    <w:pPr>
      <w:spacing w:before="0" w:after="200"/>
      <w:ind w:left="720" w:hanging="0"/>
      <w:contextualSpacing/>
    </w:pPr>
    <w:rPr>
      <w:rFonts w:eastAsia="Calibri" w:eastAsiaTheme="minorHAnsi"/>
      <w:lang w:eastAsia="en-US"/>
    </w:rPr>
  </w:style>
  <w:style w:type="paragraph" w:styleId="NoSpacing">
    <w:name w:val="No Spacing"/>
    <w:uiPriority w:val="1"/>
    <w:qFormat/>
    <w:rsid w:val="00014a14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paragraph" w:styleId="NormalWeb">
    <w:name w:val="Normal (Web)"/>
    <w:basedOn w:val="Normal"/>
    <w:uiPriority w:val="99"/>
    <w:unhideWhenUsed/>
    <w:qFormat/>
    <w:rsid w:val="005635ef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Style21">
    <w:name w:val="Содержимое врезки"/>
    <w:basedOn w:val="Normal"/>
    <w:qFormat/>
    <w:pPr/>
    <w:rPr/>
  </w:style>
  <w:style w:type="paragraph" w:styleId="Style22">
    <w:name w:val="Содержимое таблицы"/>
    <w:basedOn w:val="Normal"/>
    <w:qFormat/>
    <w:pPr>
      <w:widowControl w:val="false"/>
      <w:suppressLineNumbers/>
    </w:pPr>
    <w:rPr/>
  </w:style>
  <w:style w:type="paragraph" w:styleId="Style23">
    <w:name w:val="Заголовок таблицы"/>
    <w:basedOn w:val="Style22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d3cce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2B183A-11A5-4FA9-BC22-BBDE8A3CD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Application>LibreOffice/7.2.4.1$Linux_X86_64 LibreOffice_project/20$Build-1</Application>
  <AppVersion>15.0000</AppVersion>
  <Pages>6</Pages>
  <Words>1335</Words>
  <Characters>9019</Characters>
  <CharactersWithSpaces>10115</CharactersWithSpaces>
  <Paragraphs>108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dc:description/>
  <dc:language>ru-RU</dc:language>
  <cp:lastModifiedBy/>
  <dcterms:modified xsi:type="dcterms:W3CDTF">2024-12-24T15:54:22Z</dcterms:modified>
  <cp:revision>77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